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8D2" w14:textId="77777777" w:rsidR="0005150F" w:rsidRDefault="0005150F">
      <w:pPr>
        <w:jc w:val="center"/>
        <w:rPr>
          <w:rFonts w:ascii="Lato" w:eastAsia="Lato" w:hAnsi="Lato" w:cs="Lato"/>
          <w:color w:val="C00000"/>
          <w:sz w:val="22"/>
          <w:szCs w:val="22"/>
        </w:rPr>
      </w:pPr>
    </w:p>
    <w:p w14:paraId="408170E1" w14:textId="66160547" w:rsidR="008C7A33" w:rsidRPr="0005150F" w:rsidRDefault="00000000">
      <w:pPr>
        <w:jc w:val="center"/>
        <w:rPr>
          <w:rFonts w:ascii="Lato" w:eastAsia="Lato" w:hAnsi="Lato" w:cs="Lato"/>
          <w:color w:val="C00000"/>
          <w:sz w:val="22"/>
          <w:szCs w:val="22"/>
        </w:rPr>
      </w:pPr>
      <w:r w:rsidRPr="0005150F">
        <w:rPr>
          <w:rFonts w:ascii="Lato" w:eastAsia="Lato" w:hAnsi="Lato" w:cs="Lato"/>
          <w:color w:val="C00000"/>
          <w:sz w:val="22"/>
          <w:szCs w:val="22"/>
        </w:rPr>
        <w:t>Comunicato stampa</w:t>
      </w:r>
    </w:p>
    <w:p w14:paraId="40D444E0" w14:textId="77777777" w:rsidR="008C7A33" w:rsidRDefault="008C7A33">
      <w:pPr>
        <w:jc w:val="center"/>
        <w:rPr>
          <w:rFonts w:ascii="Lato" w:eastAsia="Lato" w:hAnsi="Lato" w:cs="Lato"/>
          <w:sz w:val="22"/>
          <w:szCs w:val="22"/>
        </w:rPr>
      </w:pPr>
    </w:p>
    <w:p w14:paraId="21379FF8" w14:textId="77777777" w:rsidR="0005150F" w:rsidRDefault="00000000">
      <w:pPr>
        <w:jc w:val="center"/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012FC2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TRINITY VIAGGISTUDIO PRIMO IN ITALIA PER INCLUSIVITÀ </w:t>
      </w: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SCOLASTICA </w:t>
      </w:r>
    </w:p>
    <w:p w14:paraId="2CCBA84B" w14:textId="77777777" w:rsidR="0005150F" w:rsidRDefault="0005150F">
      <w:pPr>
        <w:jc w:val="center"/>
        <w:rPr>
          <w:rFonts w:ascii="Lato" w:eastAsia="Lato" w:hAnsi="Lato" w:cs="Lato"/>
          <w:b/>
          <w:bCs/>
          <w:color w:val="C00000"/>
          <w:sz w:val="22"/>
          <w:szCs w:val="22"/>
        </w:rPr>
      </w:pPr>
    </w:p>
    <w:p w14:paraId="38244D7B" w14:textId="73F0BBCC" w:rsidR="008C7A33" w:rsidRPr="0005150F" w:rsidRDefault="0005150F" w:rsidP="0005150F">
      <w:pPr>
        <w:jc w:val="center"/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05150F">
        <w:rPr>
          <w:rFonts w:ascii="Lato" w:eastAsia="Lato" w:hAnsi="Lato" w:cs="Lato"/>
          <w:b/>
          <w:bCs/>
          <w:color w:val="C00000"/>
          <w:sz w:val="22"/>
          <w:szCs w:val="22"/>
          <w:u w:color="0D0D0D"/>
        </w:rPr>
        <w:t xml:space="preserve">ORGANIZZA SOGGIORNI ALL’ESTERO FINALIZZATI ALL’APPRENDIMENTO DELLE LINGUE STRANIERE ANCHE PER GIOVANI CON </w:t>
      </w: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>DM1, DSA E CELIACHIA</w:t>
      </w:r>
    </w:p>
    <w:p w14:paraId="63BD35AF" w14:textId="77777777" w:rsidR="008C7A33" w:rsidRPr="0005150F" w:rsidRDefault="008C7A33">
      <w:pPr>
        <w:rPr>
          <w:rFonts w:ascii="Lato" w:eastAsia="Lato" w:hAnsi="Lato" w:cs="Lato"/>
          <w:b/>
          <w:bCs/>
          <w:color w:val="C00000"/>
          <w:sz w:val="16"/>
          <w:szCs w:val="16"/>
        </w:rPr>
      </w:pPr>
    </w:p>
    <w:p w14:paraId="6CC157C8" w14:textId="5E14E0B3" w:rsidR="008C7A33" w:rsidRPr="0005150F" w:rsidRDefault="00000000">
      <w:pPr>
        <w:pStyle w:val="Paragrafoelenco"/>
        <w:numPr>
          <w:ilvl w:val="0"/>
          <w:numId w:val="2"/>
        </w:numPr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L’operatore è il primo nel Belpaese ad aver avviato con successo soggiorni </w:t>
      </w:r>
      <w:r w:rsidR="000A6EB2"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studio </w:t>
      </w: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>educativi all’estero per studenti con disturbi DM1 e DSA, oltre che per celiaci</w:t>
      </w:r>
    </w:p>
    <w:p w14:paraId="5051925C" w14:textId="77777777" w:rsidR="008C7A33" w:rsidRPr="0005150F" w:rsidRDefault="008C7A33">
      <w:pPr>
        <w:pStyle w:val="Paragrafoelenco"/>
        <w:rPr>
          <w:rFonts w:ascii="Lato" w:eastAsia="Lato" w:hAnsi="Lato" w:cs="Lato"/>
          <w:b/>
          <w:bCs/>
          <w:color w:val="C00000"/>
          <w:sz w:val="16"/>
          <w:szCs w:val="16"/>
        </w:rPr>
      </w:pPr>
    </w:p>
    <w:p w14:paraId="6468B341" w14:textId="3750E634" w:rsidR="008C7A33" w:rsidRPr="0005150F" w:rsidRDefault="00000000">
      <w:pPr>
        <w:pStyle w:val="Paragrafoelenco"/>
        <w:numPr>
          <w:ilvl w:val="0"/>
          <w:numId w:val="2"/>
        </w:numPr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In Italia le tre tipologie di disturbi sono in forte crescita da dopo la pandemia e oggi il Ministero dell’Istruzione </w:t>
      </w:r>
      <w:r w:rsidR="000A6EB2"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e del Merito </w:t>
      </w:r>
      <w:r w:rsidRPr="0005150F">
        <w:rPr>
          <w:rFonts w:ascii="Lato" w:eastAsia="Lato" w:hAnsi="Lato" w:cs="Lato"/>
          <w:b/>
          <w:bCs/>
          <w:color w:val="C00000"/>
          <w:sz w:val="22"/>
          <w:szCs w:val="22"/>
        </w:rPr>
        <w:t>sollecita chi opera nel campo dell’educazione a adattare la propria offerta</w:t>
      </w:r>
    </w:p>
    <w:p w14:paraId="1FB1AAAB" w14:textId="77777777" w:rsidR="008C7A33" w:rsidRDefault="008C7A33">
      <w:pPr>
        <w:jc w:val="both"/>
        <w:rPr>
          <w:rFonts w:ascii="Lato" w:eastAsia="Lato" w:hAnsi="Lato" w:cs="Lato"/>
          <w:b/>
          <w:bCs/>
          <w:color w:val="C00000"/>
          <w:sz w:val="22"/>
          <w:szCs w:val="22"/>
          <w:u w:color="C00000"/>
        </w:rPr>
      </w:pPr>
    </w:p>
    <w:p w14:paraId="7DED24BB" w14:textId="1FBE4225" w:rsidR="008C7A33" w:rsidRDefault="00000000">
      <w:pPr>
        <w:jc w:val="both"/>
        <w:rPr>
          <w:rFonts w:ascii="Lato" w:eastAsia="Lato" w:hAnsi="Lato" w:cs="Lato"/>
          <w:color w:val="0D0D0D"/>
          <w:sz w:val="22"/>
          <w:szCs w:val="22"/>
          <w:u w:color="0D0D0D"/>
        </w:rPr>
      </w:pPr>
      <w:r>
        <w:rPr>
          <w:rFonts w:ascii="Lato" w:eastAsia="Lato" w:hAnsi="Lato" w:cs="Lato"/>
          <w:i/>
          <w:iCs/>
          <w:color w:val="0D0D0D"/>
          <w:sz w:val="22"/>
          <w:szCs w:val="22"/>
          <w:u w:color="0D0D0D"/>
        </w:rPr>
        <w:t xml:space="preserve">Roma, </w:t>
      </w:r>
      <w:r w:rsidR="0005150F">
        <w:rPr>
          <w:rFonts w:ascii="Lato" w:eastAsia="Lato" w:hAnsi="Lato" w:cs="Lato"/>
          <w:i/>
          <w:iCs/>
          <w:color w:val="0D0D0D"/>
          <w:sz w:val="22"/>
          <w:szCs w:val="22"/>
          <w:u w:color="0D0D0D"/>
        </w:rPr>
        <w:t>4</w:t>
      </w:r>
      <w:r>
        <w:rPr>
          <w:rFonts w:ascii="Lato" w:eastAsia="Lato" w:hAnsi="Lato" w:cs="Lato"/>
          <w:i/>
          <w:iCs/>
          <w:color w:val="0D0D0D"/>
          <w:sz w:val="22"/>
          <w:szCs w:val="22"/>
          <w:u w:color="0D0D0D"/>
        </w:rPr>
        <w:t xml:space="preserve"> giugno 2024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 xml:space="preserve">– 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DM1 e DSA. Trinity </w:t>
      </w:r>
      <w:proofErr w:type="gramStart"/>
      <w:r>
        <w:rPr>
          <w:rFonts w:ascii="Lato" w:eastAsia="Lato" w:hAnsi="Lato" w:cs="Lato"/>
          <w:color w:val="0D0D0D"/>
          <w:sz w:val="22"/>
          <w:szCs w:val="22"/>
          <w:u w:color="0D0D0D"/>
        </w:rPr>
        <w:t>ViaggiStudio</w:t>
      </w:r>
      <w:proofErr w:type="gramEnd"/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 è il primo operatore in Italia a rispondere presente sia alle richieste del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Documento di sintesi degli Stati Generali sul diabete 2024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, sia alle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indicazioni del Ministero dell’Istruzione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 in merito agli studenti con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Disturbi Specifici dell’Apprendimento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. </w:t>
      </w:r>
    </w:p>
    <w:p w14:paraId="0DA70622" w14:textId="77777777" w:rsidR="008C7A33" w:rsidRDefault="008C7A33">
      <w:pPr>
        <w:rPr>
          <w:rFonts w:ascii="Lato" w:eastAsia="Lato" w:hAnsi="Lato" w:cs="Lato"/>
          <w:color w:val="0D0D0D"/>
          <w:sz w:val="22"/>
          <w:szCs w:val="22"/>
          <w:u w:color="0D0D0D"/>
        </w:rPr>
      </w:pPr>
    </w:p>
    <w:p w14:paraId="5BA304EA" w14:textId="77777777" w:rsidR="008C7A33" w:rsidRDefault="00000000">
      <w:pPr>
        <w:rPr>
          <w:b/>
          <w:bCs/>
          <w:sz w:val="16"/>
          <w:szCs w:val="16"/>
        </w:rPr>
      </w:pP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DISTURBI IN CRESCITA FRA I GIOVANI</w:t>
      </w:r>
    </w:p>
    <w:p w14:paraId="1800788D" w14:textId="2A40ABA3" w:rsidR="008C7A33" w:rsidRDefault="00000000">
      <w:pPr>
        <w:jc w:val="both"/>
        <w:rPr>
          <w:rFonts w:ascii="Lato" w:eastAsia="Lato" w:hAnsi="Lato" w:cs="Lato"/>
          <w:color w:val="0D0D0D"/>
          <w:sz w:val="22"/>
          <w:szCs w:val="22"/>
          <w:u w:color="0D0D0D"/>
        </w:rPr>
      </w:pP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Solo questi ultimi, </w:t>
      </w:r>
      <w:r w:rsidRPr="0005150F">
        <w:rPr>
          <w:rFonts w:ascii="Lato" w:eastAsia="Lato" w:hAnsi="Lato" w:cs="Lato"/>
          <w:color w:val="000000" w:themeColor="text1"/>
          <w:sz w:val="22"/>
          <w:szCs w:val="22"/>
          <w:u w:color="0D0D0D"/>
        </w:rPr>
        <w:t xml:space="preserve">nell’ultimo </w:t>
      </w:r>
      <w:r w:rsidRPr="0005150F">
        <w:rPr>
          <w:rFonts w:ascii="Lato" w:eastAsia="Lato" w:hAnsi="Lato" w:cs="Lato"/>
          <w:b/>
          <w:bCs/>
          <w:color w:val="000000" w:themeColor="text1"/>
          <w:sz w:val="22"/>
          <w:szCs w:val="22"/>
          <w:u w:color="0D0D0D"/>
        </w:rPr>
        <w:t xml:space="preserve">rilievo </w:t>
      </w:r>
      <w:r w:rsidR="000A6EB2" w:rsidRPr="0005150F">
        <w:rPr>
          <w:rFonts w:ascii="Lato" w:eastAsia="Lato" w:hAnsi="Lato" w:cs="Lato"/>
          <w:b/>
          <w:bCs/>
          <w:color w:val="000000" w:themeColor="text1"/>
          <w:sz w:val="22"/>
          <w:szCs w:val="22"/>
          <w:u w:color="0D0D0D"/>
        </w:rPr>
        <w:t>M.I.M.</w:t>
      </w:r>
      <w:r w:rsidRPr="0005150F">
        <w:rPr>
          <w:rFonts w:ascii="Lato" w:eastAsia="Lato" w:hAnsi="Lato" w:cs="Lato"/>
          <w:color w:val="000000" w:themeColor="text1"/>
          <w:sz w:val="22"/>
          <w:szCs w:val="22"/>
          <w:u w:color="0D0D0D"/>
        </w:rPr>
        <w:t xml:space="preserve"> condotto in Italia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, sarebbero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oltre 326mila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 dal primo ciclo d’istruzione fino alle scuole superiori, incidendo su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più del 5% della popolazione studentesca nazionale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. Situazione ancor più complessa sul fronte del 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Diabete Mellito 1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>, in forte crescita fra i più giovani da dopo la pandemia di Covid19, con un</w:t>
      </w: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 xml:space="preserve"> tasso di diagnosi balzato al 27%</w:t>
      </w:r>
      <w:r>
        <w:rPr>
          <w:rFonts w:ascii="Lato" w:eastAsia="Lato" w:hAnsi="Lato" w:cs="Lato"/>
          <w:color w:val="0D0D0D"/>
          <w:sz w:val="22"/>
          <w:szCs w:val="22"/>
          <w:u w:color="0D0D0D"/>
        </w:rPr>
        <w:t xml:space="preserve"> nel 2019-2021, rispetto all’appena 2-4% degli anni precedenti, e destinato ad aumentare con incidenza ancor maggiore negli anni a venire.</w:t>
      </w:r>
    </w:p>
    <w:p w14:paraId="651D7025" w14:textId="77777777" w:rsidR="008C7A33" w:rsidRDefault="008C7A33">
      <w:pPr>
        <w:jc w:val="both"/>
        <w:rPr>
          <w:rFonts w:ascii="Lato" w:eastAsia="Lato" w:hAnsi="Lato" w:cs="Lato"/>
          <w:color w:val="0D0D0D"/>
          <w:sz w:val="22"/>
          <w:szCs w:val="22"/>
          <w:u w:color="0D0D0D"/>
        </w:rPr>
      </w:pPr>
    </w:p>
    <w:p w14:paraId="35641AC0" w14:textId="77777777" w:rsidR="008C7A33" w:rsidRDefault="00000000">
      <w:pPr>
        <w:jc w:val="both"/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</w:pPr>
      <w:r>
        <w:rPr>
          <w:rFonts w:ascii="Lato" w:eastAsia="Lato" w:hAnsi="Lato" w:cs="Lato"/>
          <w:b/>
          <w:bCs/>
          <w:color w:val="0D0D0D"/>
          <w:sz w:val="22"/>
          <w:szCs w:val="22"/>
          <w:u w:color="0D0D0D"/>
        </w:rPr>
        <w:t>RAFFORZARE L’INCLUSIVITÀ SCOLASTICA</w:t>
      </w:r>
    </w:p>
    <w:p w14:paraId="5C631363" w14:textId="29744249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0D0D0D"/>
          <w:u w:color="0D0D0D"/>
        </w:rPr>
      </w:pPr>
      <w:r>
        <w:rPr>
          <w:rFonts w:ascii="Lato" w:eastAsia="Lato" w:hAnsi="Lato" w:cs="Lato"/>
          <w:color w:val="0D0D0D"/>
          <w:u w:color="0D0D0D"/>
        </w:rPr>
        <w:t>Per far fronte a entrambe le sfide, e al tempo stesso rafforzare il valore dell’</w:t>
      </w:r>
      <w:r>
        <w:rPr>
          <w:rFonts w:ascii="Lato" w:eastAsia="Lato" w:hAnsi="Lato" w:cs="Lato"/>
          <w:b/>
          <w:bCs/>
          <w:color w:val="0D0D0D"/>
          <w:u w:color="0D0D0D"/>
        </w:rPr>
        <w:t>inclusività scolastica</w:t>
      </w:r>
      <w:r>
        <w:rPr>
          <w:rFonts w:ascii="Lato" w:eastAsia="Lato" w:hAnsi="Lato" w:cs="Lato"/>
          <w:color w:val="0D0D0D"/>
          <w:u w:color="0D0D0D"/>
        </w:rPr>
        <w:t xml:space="preserve">, Trinity organizza </w:t>
      </w:r>
      <w:r>
        <w:rPr>
          <w:rFonts w:ascii="Lato" w:eastAsia="Lato" w:hAnsi="Lato" w:cs="Lato"/>
          <w:b/>
          <w:bCs/>
          <w:color w:val="0D0D0D"/>
          <w:u w:color="0D0D0D"/>
        </w:rPr>
        <w:t xml:space="preserve">soggiorni all’estero finalizzati all’apprendimento delle lingue straniere anche per </w:t>
      </w:r>
      <w:r w:rsidRPr="0005150F">
        <w:rPr>
          <w:rFonts w:ascii="Lato" w:eastAsia="Lato" w:hAnsi="Lato" w:cs="Lato"/>
          <w:b/>
          <w:bCs/>
          <w:color w:val="000000" w:themeColor="text1"/>
          <w:u w:color="0D0D0D"/>
        </w:rPr>
        <w:t xml:space="preserve">giovani </w:t>
      </w:r>
      <w:r w:rsidR="000A6EB2" w:rsidRPr="0005150F">
        <w:rPr>
          <w:rFonts w:ascii="Lato" w:eastAsia="Lato" w:hAnsi="Lato" w:cs="Lato"/>
          <w:b/>
          <w:bCs/>
          <w:color w:val="000000" w:themeColor="text1"/>
          <w:u w:color="0D0D0D"/>
        </w:rPr>
        <w:t>con DM1 o DSA</w:t>
      </w:r>
      <w:r w:rsidRPr="0005150F">
        <w:rPr>
          <w:rFonts w:ascii="Lato" w:eastAsia="Lato" w:hAnsi="Lato" w:cs="Lato"/>
          <w:color w:val="000000" w:themeColor="text1"/>
          <w:u w:color="0D0D0D"/>
        </w:rPr>
        <w:t xml:space="preserve">. Viene </w:t>
      </w:r>
      <w:r>
        <w:rPr>
          <w:rFonts w:ascii="Lato" w:eastAsia="Lato" w:hAnsi="Lato" w:cs="Lato"/>
          <w:color w:val="0D0D0D"/>
          <w:u w:color="0D0D0D"/>
        </w:rPr>
        <w:t xml:space="preserve">così raccolto l’invito lanciato quest’anno da </w:t>
      </w:r>
      <w:proofErr w:type="spellStart"/>
      <w:r>
        <w:rPr>
          <w:rFonts w:ascii="Lato" w:eastAsia="Lato" w:hAnsi="Lato" w:cs="Lato"/>
          <w:b/>
          <w:bCs/>
          <w:color w:val="0D0D0D"/>
          <w:u w:color="0D0D0D"/>
        </w:rPr>
        <w:t>Fesdi</w:t>
      </w:r>
      <w:proofErr w:type="spellEnd"/>
      <w:r>
        <w:rPr>
          <w:rFonts w:ascii="Lato" w:eastAsia="Lato" w:hAnsi="Lato" w:cs="Lato"/>
          <w:color w:val="0D0D0D"/>
          <w:u w:color="0D0D0D"/>
        </w:rPr>
        <w:t>, l’Alleanza per il diabete, unitamente all’</w:t>
      </w:r>
      <w:r>
        <w:rPr>
          <w:rFonts w:ascii="Lato" w:eastAsia="Lato" w:hAnsi="Lato" w:cs="Lato"/>
          <w:b/>
          <w:bCs/>
          <w:color w:val="0D0D0D"/>
          <w:u w:color="0D0D0D"/>
        </w:rPr>
        <w:t>Intergruppo Parlamentare Obesità, Diabete e NCD</w:t>
      </w:r>
      <w:r>
        <w:rPr>
          <w:rFonts w:ascii="Lato" w:eastAsia="Lato" w:hAnsi="Lato" w:cs="Lato"/>
          <w:color w:val="0D0D0D"/>
          <w:u w:color="0D0D0D"/>
        </w:rPr>
        <w:t>. Il nono capitolo del documento licenziato, “</w:t>
      </w:r>
      <w:r>
        <w:rPr>
          <w:rFonts w:ascii="Lato" w:eastAsia="Lato" w:hAnsi="Lato" w:cs="Lato"/>
          <w:b/>
          <w:bCs/>
          <w:color w:val="0D0D0D"/>
          <w:u w:color="0D0D0D"/>
        </w:rPr>
        <w:t>Tutelare i diritti della persona con diabete</w:t>
      </w:r>
      <w:r>
        <w:rPr>
          <w:rFonts w:ascii="Lato" w:eastAsia="Lato" w:hAnsi="Lato" w:cs="Lato"/>
          <w:color w:val="0D0D0D"/>
          <w:u w:color="0D0D0D"/>
        </w:rPr>
        <w:t>”, prende infatti in considerazione sia l’ambito dell’attività lavorativa, che scolastica e sportiva, col fine di garantire “</w:t>
      </w:r>
      <w:r>
        <w:rPr>
          <w:rFonts w:ascii="Lato" w:eastAsia="Lato" w:hAnsi="Lato" w:cs="Lato"/>
          <w:i/>
          <w:iCs/>
          <w:color w:val="0D0D0D"/>
          <w:u w:color="0D0D0D"/>
        </w:rPr>
        <w:t>il pieno accesso all’informazione, all’educazione terapeutica, alla sana alimentazione, ai corretti stili di vita e al supporto psicologico</w:t>
      </w:r>
      <w:r>
        <w:rPr>
          <w:rFonts w:ascii="Lato" w:eastAsia="Lato" w:hAnsi="Lato" w:cs="Lato"/>
          <w:color w:val="0D0D0D"/>
          <w:u w:color="0D0D0D"/>
        </w:rPr>
        <w:t>”. Analoghe raccomandazioni sono state incluse nel</w:t>
      </w:r>
      <w:r>
        <w:rPr>
          <w:rFonts w:ascii="Lato" w:eastAsia="Lato" w:hAnsi="Lato" w:cs="Lato"/>
          <w:b/>
          <w:bCs/>
          <w:color w:val="0D0D0D"/>
          <w:u w:color="0D0D0D"/>
        </w:rPr>
        <w:t xml:space="preserve"> Decreto Scuola 2024</w:t>
      </w:r>
      <w:r>
        <w:rPr>
          <w:rFonts w:ascii="Lato" w:eastAsia="Lato" w:hAnsi="Lato" w:cs="Lato"/>
          <w:color w:val="0D0D0D"/>
          <w:u w:color="0D0D0D"/>
        </w:rPr>
        <w:t xml:space="preserve"> per quanto attiene i Disturbi Specifici di Apprendimento.</w:t>
      </w:r>
    </w:p>
    <w:p w14:paraId="5FEB9C6C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0D0D0D"/>
          <w:u w:color="0D0D0D"/>
        </w:rPr>
      </w:pPr>
    </w:p>
    <w:p w14:paraId="6CDCC4CE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b/>
          <w:bCs/>
          <w:color w:val="0D0D0D"/>
          <w:u w:color="0D0D0D"/>
        </w:rPr>
      </w:pPr>
      <w:r>
        <w:rPr>
          <w:rFonts w:ascii="Lato" w:eastAsia="Lato" w:hAnsi="Lato" w:cs="Lato"/>
          <w:b/>
          <w:bCs/>
          <w:color w:val="0D0D0D"/>
          <w:u w:color="0D0D0D"/>
        </w:rPr>
        <w:t>IL PROGRAMMA “UNO PER TUTTI, TUTTI PER UNO”</w:t>
      </w:r>
    </w:p>
    <w:p w14:paraId="6C77106A" w14:textId="60A0376C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color w:val="0D0D0D"/>
          <w:u w:color="0D0D0D"/>
        </w:rPr>
      </w:pPr>
      <w:r>
        <w:rPr>
          <w:rFonts w:ascii="Lato" w:eastAsia="Lato" w:hAnsi="Lato" w:cs="Lato"/>
          <w:color w:val="0D0D0D"/>
          <w:u w:color="0D0D0D"/>
        </w:rPr>
        <w:t xml:space="preserve">Lanciato addirittura nel 2009, il </w:t>
      </w:r>
      <w:r>
        <w:rPr>
          <w:rFonts w:ascii="Lato" w:eastAsia="Lato" w:hAnsi="Lato" w:cs="Lato"/>
          <w:b/>
          <w:bCs/>
          <w:color w:val="0D0D0D"/>
          <w:u w:color="0D0D0D"/>
        </w:rPr>
        <w:t>programma “Uno per tutti, tutti per uno”</w:t>
      </w:r>
      <w:r>
        <w:rPr>
          <w:rFonts w:ascii="Lato" w:eastAsia="Lato" w:hAnsi="Lato" w:cs="Lato"/>
          <w:color w:val="0D0D0D"/>
          <w:u w:color="0D0D0D"/>
        </w:rPr>
        <w:t xml:space="preserve"> di Trinity </w:t>
      </w:r>
      <w:proofErr w:type="gramStart"/>
      <w:r>
        <w:rPr>
          <w:rFonts w:ascii="Lato" w:eastAsia="Lato" w:hAnsi="Lato" w:cs="Lato"/>
          <w:color w:val="0D0D0D"/>
          <w:u w:color="0D0D0D"/>
        </w:rPr>
        <w:t>ViaggiStudio</w:t>
      </w:r>
      <w:proofErr w:type="gramEnd"/>
      <w:r>
        <w:rPr>
          <w:rFonts w:ascii="Lato" w:eastAsia="Lato" w:hAnsi="Lato" w:cs="Lato"/>
          <w:color w:val="0D0D0D"/>
          <w:u w:color="0D0D0D"/>
        </w:rPr>
        <w:t xml:space="preserve"> è stato pensato in </w:t>
      </w:r>
      <w:r w:rsidRPr="0005150F">
        <w:rPr>
          <w:rFonts w:ascii="Lato" w:eastAsia="Lato" w:hAnsi="Lato" w:cs="Lato"/>
          <w:color w:val="000000" w:themeColor="text1"/>
          <w:u w:color="0D0D0D"/>
        </w:rPr>
        <w:t>collaborazione con un team di docenti</w:t>
      </w:r>
      <w:r w:rsidR="000A6EB2" w:rsidRPr="0005150F">
        <w:rPr>
          <w:rFonts w:ascii="Lato" w:eastAsia="Lato" w:hAnsi="Lato" w:cs="Lato"/>
          <w:color w:val="000000" w:themeColor="text1"/>
          <w:u w:color="0D0D0D"/>
        </w:rPr>
        <w:t>, capitanati dalla</w:t>
      </w:r>
      <w:r w:rsidRPr="0005150F">
        <w:rPr>
          <w:rFonts w:ascii="Lato" w:eastAsia="Lato" w:hAnsi="Lato" w:cs="Lato"/>
          <w:color w:val="000000" w:themeColor="text1"/>
          <w:u w:color="0D0D0D"/>
        </w:rPr>
        <w:t xml:space="preserve"> </w:t>
      </w:r>
      <w:r w:rsidR="000A6EB2" w:rsidRPr="0005150F">
        <w:rPr>
          <w:rFonts w:ascii="Lato" w:eastAsia="Lato" w:hAnsi="Lato" w:cs="Lato"/>
          <w:b/>
          <w:bCs/>
          <w:color w:val="000000" w:themeColor="text1"/>
          <w:u w:color="0D0D0D"/>
        </w:rPr>
        <w:t>P</w:t>
      </w:r>
      <w:r w:rsidRPr="0005150F">
        <w:rPr>
          <w:rFonts w:ascii="Lato" w:eastAsia="Lato" w:hAnsi="Lato" w:cs="Lato"/>
          <w:b/>
          <w:bCs/>
          <w:color w:val="000000" w:themeColor="text1"/>
          <w:u w:color="0D0D0D"/>
        </w:rPr>
        <w:t xml:space="preserve">rofessoressa </w:t>
      </w:r>
      <w:r>
        <w:rPr>
          <w:rFonts w:ascii="Lato" w:eastAsia="Lato" w:hAnsi="Lato" w:cs="Lato"/>
          <w:b/>
          <w:bCs/>
          <w:color w:val="0D0D0D"/>
          <w:u w:color="0D0D0D"/>
        </w:rPr>
        <w:t>Paola Eleonora Fantoni</w:t>
      </w:r>
      <w:r>
        <w:rPr>
          <w:rFonts w:ascii="Lato" w:eastAsia="Lato" w:hAnsi="Lato" w:cs="Lato"/>
          <w:color w:val="0D0D0D"/>
          <w:u w:color="0D0D0D"/>
        </w:rPr>
        <w:t xml:space="preserve">, prendendo in considerazione </w:t>
      </w:r>
      <w:r>
        <w:rPr>
          <w:rFonts w:ascii="Lato" w:eastAsia="Lato" w:hAnsi="Lato" w:cs="Lato"/>
          <w:b/>
          <w:bCs/>
          <w:color w:val="0D0D0D"/>
          <w:u w:color="0D0D0D"/>
        </w:rPr>
        <w:t>ogni tipologia di disturbo</w:t>
      </w:r>
      <w:r>
        <w:rPr>
          <w:rFonts w:ascii="Lato" w:eastAsia="Lato" w:hAnsi="Lato" w:cs="Lato"/>
          <w:color w:val="0D0D0D"/>
          <w:u w:color="0D0D0D"/>
        </w:rPr>
        <w:t xml:space="preserve">: non solo </w:t>
      </w:r>
      <w:r>
        <w:rPr>
          <w:rFonts w:ascii="Lato" w:eastAsia="Lato" w:hAnsi="Lato" w:cs="Lato"/>
          <w:b/>
          <w:bCs/>
          <w:color w:val="0D0D0D"/>
          <w:u w:color="0D0D0D"/>
        </w:rPr>
        <w:t>dislessia</w:t>
      </w:r>
      <w:r>
        <w:rPr>
          <w:rFonts w:ascii="Lato" w:eastAsia="Lato" w:hAnsi="Lato" w:cs="Lato"/>
          <w:color w:val="0D0D0D"/>
          <w:u w:color="0D0D0D"/>
        </w:rPr>
        <w:t xml:space="preserve"> dunque, ma anche </w:t>
      </w:r>
      <w:r>
        <w:rPr>
          <w:rFonts w:ascii="Lato" w:eastAsia="Lato" w:hAnsi="Lato" w:cs="Lato"/>
          <w:b/>
          <w:bCs/>
          <w:color w:val="0D0D0D"/>
          <w:u w:color="0D0D0D"/>
        </w:rPr>
        <w:t>disgrafia</w:t>
      </w:r>
      <w:r>
        <w:rPr>
          <w:rFonts w:ascii="Lato" w:eastAsia="Lato" w:hAnsi="Lato" w:cs="Lato"/>
          <w:color w:val="0D0D0D"/>
          <w:u w:color="0D0D0D"/>
        </w:rPr>
        <w:t xml:space="preserve">, </w:t>
      </w:r>
      <w:r>
        <w:rPr>
          <w:rFonts w:ascii="Lato" w:eastAsia="Lato" w:hAnsi="Lato" w:cs="Lato"/>
          <w:b/>
          <w:bCs/>
          <w:color w:val="0D0D0D"/>
          <w:u w:color="0D0D0D"/>
        </w:rPr>
        <w:t>disortografia</w:t>
      </w:r>
      <w:r>
        <w:rPr>
          <w:rFonts w:ascii="Lato" w:eastAsia="Lato" w:hAnsi="Lato" w:cs="Lato"/>
          <w:color w:val="0D0D0D"/>
          <w:u w:color="0D0D0D"/>
        </w:rPr>
        <w:t xml:space="preserve"> e </w:t>
      </w:r>
      <w:r>
        <w:rPr>
          <w:rFonts w:ascii="Lato" w:eastAsia="Lato" w:hAnsi="Lato" w:cs="Lato"/>
          <w:b/>
          <w:bCs/>
          <w:color w:val="0D0D0D"/>
          <w:u w:color="0D0D0D"/>
        </w:rPr>
        <w:t>discalculia</w:t>
      </w:r>
      <w:r>
        <w:rPr>
          <w:rFonts w:ascii="Lato" w:eastAsia="Lato" w:hAnsi="Lato" w:cs="Lato"/>
          <w:color w:val="0D0D0D"/>
          <w:u w:color="0D0D0D"/>
        </w:rPr>
        <w:t xml:space="preserve">, oltre che i </w:t>
      </w:r>
      <w:r>
        <w:rPr>
          <w:rFonts w:ascii="Lato" w:eastAsia="Lato" w:hAnsi="Lato" w:cs="Lato"/>
          <w:b/>
          <w:bCs/>
          <w:color w:val="0D0D0D"/>
          <w:u w:color="0D0D0D"/>
        </w:rPr>
        <w:t>BES</w:t>
      </w:r>
      <w:r>
        <w:rPr>
          <w:rFonts w:ascii="Lato" w:eastAsia="Lato" w:hAnsi="Lato" w:cs="Lato"/>
          <w:color w:val="0D0D0D"/>
          <w:u w:color="0D0D0D"/>
        </w:rPr>
        <w:t xml:space="preserve"> (Bisogni Educativi Speciali, fra cui disabilità fisiche, sensoriali e cognitive). Prima di invitare gli studenti alla scelta del viaggio studio, ogni anno viene svolta un’approfondita analisi della diagnosi del disturbo, andando quindi a elaborare un </w:t>
      </w:r>
      <w:r>
        <w:rPr>
          <w:rFonts w:ascii="Lato" w:eastAsia="Lato" w:hAnsi="Lato" w:cs="Lato"/>
          <w:b/>
          <w:bCs/>
          <w:color w:val="0D0D0D"/>
          <w:u w:color="0D0D0D"/>
        </w:rPr>
        <w:t xml:space="preserve">Piano Didattico </w:t>
      </w:r>
      <w:r>
        <w:rPr>
          <w:rFonts w:ascii="Lato" w:eastAsia="Lato" w:hAnsi="Lato" w:cs="Lato"/>
          <w:b/>
          <w:bCs/>
          <w:color w:val="0D0D0D"/>
          <w:u w:color="0D0D0D"/>
        </w:rPr>
        <w:lastRenderedPageBreak/>
        <w:t>Personalizzato</w:t>
      </w:r>
      <w:r>
        <w:rPr>
          <w:rFonts w:ascii="Lato" w:eastAsia="Lato" w:hAnsi="Lato" w:cs="Lato"/>
          <w:color w:val="0D0D0D"/>
          <w:u w:color="0D0D0D"/>
        </w:rPr>
        <w:t xml:space="preserve"> per ciascuno di essi. La scelta della metodologia didattica viene invece concordata con la scuola ospitante. </w:t>
      </w:r>
    </w:p>
    <w:p w14:paraId="31325392" w14:textId="77777777" w:rsidR="008C7A33" w:rsidRDefault="008C7A33">
      <w:pPr>
        <w:jc w:val="both"/>
      </w:pPr>
    </w:p>
    <w:p w14:paraId="72BCD7D6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  <w:r>
        <w:rPr>
          <w:b/>
          <w:bCs/>
          <w:u w:color="000000"/>
        </w:rPr>
        <w:t>UNA GUIDA PER I DOCENTI</w:t>
      </w:r>
    </w:p>
    <w:p w14:paraId="51B117BD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>“</w:t>
      </w:r>
      <w:r>
        <w:rPr>
          <w:i/>
          <w:iCs/>
          <w:u w:color="000000"/>
        </w:rPr>
        <w:t>La procedura diagnostica è un insieme di processi necessari per la diagnosi clinica e per la diagnosi funzionale</w:t>
      </w:r>
      <w:r>
        <w:rPr>
          <w:u w:color="000000"/>
        </w:rPr>
        <w:t xml:space="preserve"> - ha evidenziato Paolo Eleonora Fantoni nella </w:t>
      </w:r>
      <w:r>
        <w:rPr>
          <w:b/>
          <w:bCs/>
          <w:u w:color="000000"/>
        </w:rPr>
        <w:t>guida didattica “I Disturbi Specifici dell’Apprendimento (DSA)</w:t>
      </w:r>
      <w:r>
        <w:rPr>
          <w:u w:color="000000"/>
        </w:rPr>
        <w:t>: c</w:t>
      </w:r>
      <w:r>
        <w:rPr>
          <w:i/>
          <w:iCs/>
          <w:u w:color="000000"/>
        </w:rPr>
        <w:t xml:space="preserve">he cosa sono, come si riconoscono, quali gli interventi possibili da parte degli insegnanti” - attraverso la quale viene valutato il livello di compromissione del disturbo. Il principale criterio necessario per effettuare una diagnosi di DSA è quello della </w:t>
      </w:r>
      <w:r>
        <w:rPr>
          <w:i/>
          <w:iCs/>
          <w:u w:color="000000"/>
          <w:rtl/>
          <w:lang w:val="ar-SA"/>
        </w:rPr>
        <w:t>“</w:t>
      </w:r>
      <w:r>
        <w:rPr>
          <w:i/>
          <w:iCs/>
          <w:u w:color="000000"/>
        </w:rPr>
        <w:t>discrepanza” tra abilità nel dominio specifico interessato e l</w:t>
      </w:r>
      <w:r>
        <w:rPr>
          <w:i/>
          <w:iCs/>
          <w:u w:color="000000"/>
          <w:rtl/>
        </w:rPr>
        <w:t>’</w:t>
      </w:r>
      <w:r>
        <w:rPr>
          <w:i/>
          <w:iCs/>
          <w:u w:color="000000"/>
        </w:rPr>
        <w:t xml:space="preserve">intelligenza generale. Si affianca a questo la necessità di escludere la presenza di disturbi sensoriali o neurologici gravi e di disturbi significativi della sfera emotiva, oltre che interferenze dovute a situazioni ambientali di svantaggio </w:t>
      </w:r>
      <w:proofErr w:type="gramStart"/>
      <w:r>
        <w:rPr>
          <w:i/>
          <w:iCs/>
          <w:u w:color="000000"/>
        </w:rPr>
        <w:t>socio-culturale</w:t>
      </w:r>
      <w:proofErr w:type="gramEnd"/>
      <w:r>
        <w:rPr>
          <w:u w:color="000000"/>
        </w:rPr>
        <w:t>”.</w:t>
      </w:r>
    </w:p>
    <w:p w14:paraId="11E89630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</w:p>
    <w:p w14:paraId="22D671D3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  <w:r>
        <w:rPr>
          <w:b/>
          <w:bCs/>
          <w:u w:color="000000"/>
        </w:rPr>
        <w:t xml:space="preserve">I 7 PASSI DELLA STRATEGIA EDUCATIVA </w:t>
      </w:r>
    </w:p>
    <w:p w14:paraId="17D982F2" w14:textId="381A10EE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Grazie a </w:t>
      </w:r>
      <w:r>
        <w:rPr>
          <w:b/>
          <w:bCs/>
          <w:u w:color="000000"/>
        </w:rPr>
        <w:t>7 accorgimenti fondamentali</w:t>
      </w:r>
      <w:r>
        <w:rPr>
          <w:u w:color="000000"/>
        </w:rPr>
        <w:t xml:space="preserve">, il programma </w:t>
      </w:r>
      <w:r w:rsidR="000A6EB2" w:rsidRPr="0005150F">
        <w:rPr>
          <w:color w:val="000000" w:themeColor="text1"/>
          <w:u w:color="000000"/>
        </w:rPr>
        <w:t>che ha sviluppato</w:t>
      </w:r>
      <w:r w:rsidRPr="0005150F">
        <w:rPr>
          <w:color w:val="000000" w:themeColor="text1"/>
          <w:u w:color="000000"/>
        </w:rPr>
        <w:t xml:space="preserve"> Trinity </w:t>
      </w:r>
      <w:proofErr w:type="gramStart"/>
      <w:r w:rsidRPr="0005150F">
        <w:rPr>
          <w:color w:val="000000" w:themeColor="text1"/>
          <w:u w:color="000000"/>
        </w:rPr>
        <w:t>ViaggiStudio</w:t>
      </w:r>
      <w:proofErr w:type="gramEnd"/>
      <w:r w:rsidRPr="0005150F">
        <w:rPr>
          <w:color w:val="000000" w:themeColor="text1"/>
          <w:u w:color="000000"/>
        </w:rPr>
        <w:t xml:space="preserve"> è in grado di perseguire </w:t>
      </w:r>
      <w:r w:rsidRPr="0005150F">
        <w:rPr>
          <w:b/>
          <w:bCs/>
          <w:color w:val="000000" w:themeColor="text1"/>
          <w:u w:color="000000"/>
        </w:rPr>
        <w:t>strategie educative</w:t>
      </w:r>
      <w:r w:rsidRPr="0005150F">
        <w:rPr>
          <w:color w:val="000000" w:themeColor="text1"/>
          <w:u w:color="000000"/>
        </w:rPr>
        <w:t xml:space="preserve"> che consentono di ottenere miglioramenti individuali notevoli e rafforzamento della motivazione, puntando sul coinvolgimento, la fiducia in se stessi, ma anche su una serie di lezioni in laboratorio informatico compreso nel pacchetto. </w:t>
      </w:r>
    </w:p>
    <w:p w14:paraId="0E8148D8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</w:p>
    <w:p w14:paraId="10D45286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In particolare, il personale Trinity provvede a: </w:t>
      </w:r>
      <w:r>
        <w:rPr>
          <w:b/>
          <w:bCs/>
          <w:u w:color="000000"/>
        </w:rPr>
        <w:t xml:space="preserve">1) organizzare un ambiente di studio adatto; 2) pianificare i task di apprendimento; 3) facilitare le attività; 4) prediligere lo </w:t>
      </w:r>
      <w:proofErr w:type="spellStart"/>
      <w:r>
        <w:rPr>
          <w:b/>
          <w:bCs/>
          <w:u w:color="000000"/>
        </w:rPr>
        <w:t>speaking</w:t>
      </w:r>
      <w:proofErr w:type="spellEnd"/>
      <w:r>
        <w:rPr>
          <w:b/>
          <w:bCs/>
          <w:u w:color="000000"/>
        </w:rPr>
        <w:t xml:space="preserve"> al writing e al reading; 5) stimolare la curiosità; 6) valorizzare i successi; 7) sviluppare la capacità di concentrazione</w:t>
      </w:r>
      <w:r>
        <w:rPr>
          <w:u w:color="000000"/>
        </w:rPr>
        <w:t xml:space="preserve">. </w:t>
      </w:r>
    </w:p>
    <w:p w14:paraId="3C6EA02B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</w:p>
    <w:p w14:paraId="7B036204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  <w:r>
        <w:rPr>
          <w:b/>
          <w:bCs/>
          <w:u w:color="000000"/>
        </w:rPr>
        <w:t>NEUROTECNOLOGIE AL SERVIZIO</w:t>
      </w:r>
    </w:p>
    <w:p w14:paraId="4BD42FD5" w14:textId="0C6D859A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A ulteriore supporto viene messo a disposizione il </w:t>
      </w:r>
      <w:r>
        <w:rPr>
          <w:b/>
          <w:bCs/>
          <w:u w:color="000000"/>
        </w:rPr>
        <w:t xml:space="preserve">software </w:t>
      </w:r>
      <w:proofErr w:type="spellStart"/>
      <w:r>
        <w:rPr>
          <w:b/>
          <w:bCs/>
          <w:u w:color="000000"/>
        </w:rPr>
        <w:t>FastForWord</w:t>
      </w:r>
      <w:proofErr w:type="spellEnd"/>
      <w:r>
        <w:rPr>
          <w:b/>
          <w:bCs/>
          <w:u w:color="000000"/>
        </w:rPr>
        <w:t xml:space="preserve"> di </w:t>
      </w:r>
      <w:proofErr w:type="spellStart"/>
      <w:r>
        <w:rPr>
          <w:b/>
          <w:bCs/>
          <w:u w:color="000000"/>
        </w:rPr>
        <w:t>Neuron</w:t>
      </w:r>
      <w:proofErr w:type="spellEnd"/>
      <w:r>
        <w:rPr>
          <w:u w:color="000000"/>
        </w:rPr>
        <w:t xml:space="preserve">, l’azienda americana che ha specificatamente brevettato un percorso di studi della lingua inglese per ragazzi dislessici. In quanto </w:t>
      </w:r>
      <w:r>
        <w:rPr>
          <w:b/>
          <w:bCs/>
          <w:u w:color="000000"/>
        </w:rPr>
        <w:t>programma di lettura e linguaggio adattivo</w:t>
      </w:r>
      <w:r>
        <w:rPr>
          <w:u w:color="000000"/>
        </w:rPr>
        <w:t xml:space="preserve">, offre 1-2 anni </w:t>
      </w:r>
      <w:r w:rsidRPr="0005150F">
        <w:rPr>
          <w:color w:val="000000" w:themeColor="text1"/>
          <w:u w:color="000000"/>
        </w:rPr>
        <w:t xml:space="preserve">di </w:t>
      </w:r>
      <w:r w:rsidR="000A6EB2" w:rsidRPr="0005150F">
        <w:rPr>
          <w:color w:val="000000" w:themeColor="text1"/>
          <w:u w:color="000000"/>
        </w:rPr>
        <w:t>benefici sul rendimento</w:t>
      </w:r>
      <w:r w:rsidRPr="0005150F">
        <w:rPr>
          <w:color w:val="000000" w:themeColor="text1"/>
          <w:u w:color="000000"/>
        </w:rPr>
        <w:t xml:space="preserve"> in 40-60 ore di utilizzo, mostrando la sua grande efficacia sin dalla prima applicazione grazie a </w:t>
      </w:r>
      <w:r w:rsidRPr="0005150F">
        <w:rPr>
          <w:b/>
          <w:bCs/>
          <w:color w:val="000000" w:themeColor="text1"/>
          <w:u w:color="000000"/>
        </w:rPr>
        <w:t>tre fasi progressive</w:t>
      </w:r>
      <w:r w:rsidRPr="0005150F">
        <w:rPr>
          <w:color w:val="000000" w:themeColor="text1"/>
          <w:u w:color="000000"/>
        </w:rPr>
        <w:t xml:space="preserve">: la </w:t>
      </w:r>
      <w:r w:rsidRPr="0005150F">
        <w:rPr>
          <w:b/>
          <w:bCs/>
          <w:color w:val="000000" w:themeColor="text1"/>
          <w:u w:color="000000"/>
        </w:rPr>
        <w:t>preparazione dello studente</w:t>
      </w:r>
      <w:r w:rsidRPr="0005150F">
        <w:rPr>
          <w:color w:val="000000" w:themeColor="text1"/>
          <w:u w:color="000000"/>
        </w:rPr>
        <w:t xml:space="preserve">, il cui cervello viene predisposto alla lettura mediante il miglioramento delle abilità linguistiche e cognitive meno sviluppate (memoria, attenzione, velocità processuale, sequenziamento), quindi la </w:t>
      </w:r>
      <w:r w:rsidRPr="0005150F">
        <w:rPr>
          <w:b/>
          <w:bCs/>
          <w:color w:val="000000" w:themeColor="text1"/>
          <w:u w:color="000000"/>
        </w:rPr>
        <w:t xml:space="preserve">pratica basata sull’uso </w:t>
      </w:r>
      <w:r>
        <w:rPr>
          <w:b/>
          <w:bCs/>
          <w:u w:color="000000"/>
        </w:rPr>
        <w:t>di diversi tipi di linguaggio e tecniche di lettura</w:t>
      </w:r>
      <w:r>
        <w:rPr>
          <w:u w:color="000000"/>
        </w:rPr>
        <w:t xml:space="preserve">, per arrivare al vero e proprio </w:t>
      </w:r>
      <w:r>
        <w:rPr>
          <w:b/>
          <w:bCs/>
          <w:u w:color="000000"/>
        </w:rPr>
        <w:t xml:space="preserve">rinforzo con correzioni dei modi di lettura ad alta voce </w:t>
      </w:r>
      <w:r>
        <w:rPr>
          <w:u w:color="000000"/>
        </w:rPr>
        <w:t>e della loro fluidità utilizzando una tecnologia di “</w:t>
      </w:r>
      <w:r>
        <w:rPr>
          <w:b/>
          <w:bCs/>
          <w:u w:color="000000"/>
        </w:rPr>
        <w:t xml:space="preserve">speech </w:t>
      </w:r>
      <w:proofErr w:type="spellStart"/>
      <w:r>
        <w:rPr>
          <w:b/>
          <w:bCs/>
          <w:u w:color="000000"/>
        </w:rPr>
        <w:t>verification</w:t>
      </w:r>
      <w:proofErr w:type="spellEnd"/>
      <w:r>
        <w:rPr>
          <w:u w:color="000000"/>
        </w:rPr>
        <w:t xml:space="preserve">”. Agli alunni viene richiesto un </w:t>
      </w:r>
      <w:r>
        <w:rPr>
          <w:b/>
          <w:bCs/>
          <w:u w:color="000000"/>
        </w:rPr>
        <w:t>impegno quotidiano</w:t>
      </w:r>
      <w:r>
        <w:rPr>
          <w:u w:color="000000"/>
        </w:rPr>
        <w:t xml:space="preserve"> per tutto il tempo della vacanza, utilizzando cuffie ogni mattina per riconoscere e discriminare i suoni, quindi la singola parola, via via frasi di senso compiuto, per arrivare infine a un breve racconto. Una vera e propria </w:t>
      </w:r>
      <w:r>
        <w:rPr>
          <w:b/>
          <w:bCs/>
          <w:u w:color="000000"/>
        </w:rPr>
        <w:t>full immersion linguistica</w:t>
      </w:r>
      <w:r>
        <w:rPr>
          <w:u w:color="000000"/>
        </w:rPr>
        <w:t xml:space="preserve">, indispensabile per apprendere nuove lingue in qualsiasi caso o circostanza. </w:t>
      </w:r>
    </w:p>
    <w:p w14:paraId="263BEC4D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</w:p>
    <w:p w14:paraId="63E50B5B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  <w:r>
        <w:rPr>
          <w:b/>
          <w:bCs/>
          <w:u w:color="000000"/>
        </w:rPr>
        <w:t>IL PROGRAMMA DM1</w:t>
      </w:r>
    </w:p>
    <w:p w14:paraId="64F1838A" w14:textId="12F63BEA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Per quanto riguarda i </w:t>
      </w:r>
      <w:r>
        <w:rPr>
          <w:b/>
          <w:bCs/>
          <w:u w:color="000000"/>
        </w:rPr>
        <w:t>pacchetti DM1</w:t>
      </w:r>
      <w:r>
        <w:rPr>
          <w:u w:color="000000"/>
        </w:rPr>
        <w:t xml:space="preserve">, perfezionati sin dal 2016, la sicurezza dei ragazzi viene garantita attraverso la costante </w:t>
      </w:r>
      <w:r>
        <w:rPr>
          <w:b/>
          <w:bCs/>
          <w:u w:color="000000"/>
        </w:rPr>
        <w:t xml:space="preserve">presenza di un medico </w:t>
      </w:r>
      <w:r w:rsidR="000A6EB2" w:rsidRPr="000A6EB2">
        <w:rPr>
          <w:b/>
          <w:bCs/>
          <w:color w:val="5B9BD5" w:themeColor="accent5"/>
          <w:u w:color="000000"/>
        </w:rPr>
        <w:t>e</w:t>
      </w:r>
      <w:r w:rsidRPr="000A6EB2">
        <w:rPr>
          <w:b/>
          <w:bCs/>
          <w:color w:val="5B9BD5" w:themeColor="accent5"/>
          <w:u w:color="000000"/>
        </w:rPr>
        <w:t xml:space="preserve"> </w:t>
      </w:r>
      <w:r>
        <w:rPr>
          <w:b/>
          <w:bCs/>
          <w:u w:color="000000"/>
        </w:rPr>
        <w:t>di un accompagnatore dedicato</w:t>
      </w:r>
      <w:r>
        <w:rPr>
          <w:u w:color="000000"/>
        </w:rPr>
        <w:t xml:space="preserve">, affinché l’assistenza possa essere prestata in qualsiasi circostanza: dalle attività didattiche a quelle ricreative, dalle escursioni ai pasti, mettendo a disposizione medici che possano controllare la </w:t>
      </w:r>
      <w:r w:rsidRPr="0005150F">
        <w:rPr>
          <w:color w:val="000000" w:themeColor="text1"/>
          <w:u w:color="000000"/>
        </w:rPr>
        <w:t xml:space="preserve">glicemia anche di notte e dormendo </w:t>
      </w:r>
      <w:r w:rsidR="000A6EB2" w:rsidRPr="0005150F">
        <w:rPr>
          <w:color w:val="000000" w:themeColor="text1"/>
          <w:u w:color="000000"/>
        </w:rPr>
        <w:t xml:space="preserve">in prossimità </w:t>
      </w:r>
      <w:r w:rsidRPr="0005150F">
        <w:rPr>
          <w:color w:val="000000" w:themeColor="text1"/>
          <w:u w:color="000000"/>
        </w:rPr>
        <w:t xml:space="preserve">dei ragazzi. </w:t>
      </w:r>
    </w:p>
    <w:p w14:paraId="20502B0A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</w:p>
    <w:p w14:paraId="3E8FD34F" w14:textId="36367688" w:rsidR="008C7A33" w:rsidRPr="0005150F" w:rsidRDefault="000A6EB2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color w:val="000000" w:themeColor="text1"/>
          <w:u w:color="000000"/>
        </w:rPr>
      </w:pPr>
      <w:r w:rsidRPr="0005150F">
        <w:rPr>
          <w:b/>
          <w:bCs/>
          <w:color w:val="000000" w:themeColor="text1"/>
          <w:u w:color="000000"/>
        </w:rPr>
        <w:t>SODDISFAZIONE MASSIMA PER GENITORI E STUDENTI</w:t>
      </w:r>
    </w:p>
    <w:p w14:paraId="2EAA4BC7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>Non è dunque un caso che l’</w:t>
      </w:r>
      <w:r>
        <w:rPr>
          <w:b/>
          <w:bCs/>
          <w:u w:color="000000"/>
        </w:rPr>
        <w:t>operatore</w:t>
      </w:r>
      <w:r>
        <w:rPr>
          <w:u w:color="000000"/>
        </w:rPr>
        <w:t xml:space="preserve"> goda anche online di una </w:t>
      </w:r>
      <w:r>
        <w:rPr>
          <w:b/>
          <w:bCs/>
          <w:u w:color="000000"/>
        </w:rPr>
        <w:t>valutazione complessiva pari al livello Google 4.5 su 5</w:t>
      </w:r>
      <w:r>
        <w:rPr>
          <w:u w:color="000000"/>
        </w:rPr>
        <w:t>, grazie a oltre 180 recensioni, così come di una</w:t>
      </w:r>
      <w:r>
        <w:rPr>
          <w:b/>
          <w:bCs/>
          <w:u w:color="000000"/>
        </w:rPr>
        <w:t xml:space="preserve"> media di 4 stelle su 5 su </w:t>
      </w:r>
      <w:proofErr w:type="spellStart"/>
      <w:r>
        <w:rPr>
          <w:b/>
          <w:bCs/>
          <w:u w:color="000000"/>
        </w:rPr>
        <w:t>Trustpilot</w:t>
      </w:r>
      <w:proofErr w:type="spellEnd"/>
      <w:r>
        <w:rPr>
          <w:u w:color="000000"/>
        </w:rPr>
        <w:t xml:space="preserve">, sia per quanto riguarda gli </w:t>
      </w:r>
      <w:r>
        <w:rPr>
          <w:b/>
          <w:bCs/>
          <w:u w:color="000000"/>
        </w:rPr>
        <w:t>studenti</w:t>
      </w:r>
      <w:r>
        <w:rPr>
          <w:u w:color="000000"/>
        </w:rPr>
        <w:t xml:space="preserve"> che i </w:t>
      </w:r>
      <w:r>
        <w:rPr>
          <w:b/>
          <w:bCs/>
          <w:u w:color="000000"/>
        </w:rPr>
        <w:t>genitori</w:t>
      </w:r>
      <w:r>
        <w:rPr>
          <w:u w:color="000000"/>
        </w:rPr>
        <w:t xml:space="preserve">. </w:t>
      </w:r>
    </w:p>
    <w:p w14:paraId="4F1BCB10" w14:textId="6990AD5E" w:rsidR="00290256" w:rsidRPr="00290256" w:rsidRDefault="0029025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rFonts w:ascii="Aptos" w:hAnsi="Aptos"/>
          <w:i/>
          <w:iCs/>
        </w:rPr>
        <w:t>“</w:t>
      </w:r>
      <w:r w:rsidRPr="00290256">
        <w:rPr>
          <w:rFonts w:ascii="Aptos" w:hAnsi="Aptos"/>
          <w:i/>
          <w:iCs/>
        </w:rPr>
        <w:t xml:space="preserve">Seri nella trasparenza e affidabili nella gestione. </w:t>
      </w:r>
      <w:r w:rsidRPr="00290256">
        <w:rPr>
          <w:rFonts w:ascii="Aptos" w:hAnsi="Aptos"/>
        </w:rPr>
        <w:t>– ha dichiarato una mamma -</w:t>
      </w:r>
      <w:r>
        <w:rPr>
          <w:rFonts w:ascii="Aptos" w:hAnsi="Aptos"/>
          <w:i/>
          <w:iCs/>
        </w:rPr>
        <w:t xml:space="preserve"> </w:t>
      </w:r>
      <w:r w:rsidRPr="00290256">
        <w:rPr>
          <w:rFonts w:ascii="Aptos" w:hAnsi="Aptos"/>
          <w:i/>
          <w:iCs/>
        </w:rPr>
        <w:t>Oltre ad una vasta gamma di proposte, sanno andare incontro alle esigenze dell’utenza anche alle più esigenti.</w:t>
      </w:r>
      <w:r w:rsidRPr="00290256">
        <w:rPr>
          <w:rFonts w:ascii="Aptos" w:hAnsi="Aptos"/>
          <w:i/>
          <w:iCs/>
        </w:rPr>
        <w:t xml:space="preserve"> </w:t>
      </w:r>
      <w:r w:rsidRPr="00290256">
        <w:rPr>
          <w:rFonts w:ascii="Aptos" w:hAnsi="Aptos"/>
          <w:i/>
          <w:iCs/>
        </w:rPr>
        <w:t>Innovativi e sempre aggiornati</w:t>
      </w:r>
      <w:r>
        <w:rPr>
          <w:rFonts w:ascii="Aptos" w:hAnsi="Aptos"/>
          <w:i/>
          <w:iCs/>
        </w:rPr>
        <w:t>”</w:t>
      </w:r>
      <w:r w:rsidRPr="00290256">
        <w:rPr>
          <w:rFonts w:ascii="Aptos" w:hAnsi="Aptos"/>
          <w:i/>
          <w:iCs/>
        </w:rPr>
        <w:t>.</w:t>
      </w:r>
    </w:p>
    <w:p w14:paraId="3BD90420" w14:textId="77777777" w:rsidR="000A6EB2" w:rsidRPr="000A6EB2" w:rsidRDefault="000A6EB2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trike/>
          <w:u w:color="000000"/>
        </w:rPr>
      </w:pPr>
    </w:p>
    <w:p w14:paraId="6CD59175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u w:color="000000"/>
        </w:rPr>
      </w:pPr>
      <w:r>
        <w:rPr>
          <w:b/>
          <w:bCs/>
          <w:u w:color="000000"/>
        </w:rPr>
        <w:t>L’OPZIONE GLUTEN FRIENDLY</w:t>
      </w:r>
    </w:p>
    <w:p w14:paraId="583A376E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La terza offerta prevede un </w:t>
      </w:r>
      <w:r>
        <w:rPr>
          <w:b/>
          <w:bCs/>
          <w:u w:color="000000"/>
        </w:rPr>
        <w:t>programma ‘gluten friendly”</w:t>
      </w:r>
      <w:r>
        <w:rPr>
          <w:u w:color="000000"/>
        </w:rPr>
        <w:t xml:space="preserve">, basato sulla </w:t>
      </w:r>
      <w:r>
        <w:rPr>
          <w:b/>
          <w:bCs/>
          <w:u w:color="000000"/>
        </w:rPr>
        <w:t>selezione di università</w:t>
      </w:r>
      <w:r>
        <w:rPr>
          <w:u w:color="000000"/>
        </w:rPr>
        <w:t xml:space="preserve"> che preparano cibi seguendo </w:t>
      </w:r>
      <w:r>
        <w:rPr>
          <w:b/>
          <w:bCs/>
          <w:u w:color="000000"/>
        </w:rPr>
        <w:t xml:space="preserve">processi standardizzati, sicuri e </w:t>
      </w:r>
      <w:proofErr w:type="spellStart"/>
      <w:r>
        <w:rPr>
          <w:b/>
          <w:bCs/>
          <w:u w:color="000000"/>
        </w:rPr>
        <w:t>pluritestati</w:t>
      </w:r>
      <w:proofErr w:type="spellEnd"/>
      <w:r>
        <w:rPr>
          <w:u w:color="000000"/>
        </w:rPr>
        <w:t>, in modo tale da poter condividere i pasti in compagnia di ogni altro partecipante, evitando code o lunghe attese per la consegna di piatti specifici non contaminati: col pacchetto Trinity, questi sono tutti serviti in un’area esclusiva, ma dove sia possibile anche sedere accanto ai propri amici di ogni giorno.</w:t>
      </w:r>
    </w:p>
    <w:p w14:paraId="4C6D4F9A" w14:textId="77777777" w:rsidR="008C7A33" w:rsidRDefault="008C7A33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</w:p>
    <w:p w14:paraId="18939C37" w14:textId="77777777" w:rsidR="008C7A33" w:rsidRDefault="00000000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u w:color="000000"/>
        </w:rPr>
      </w:pPr>
      <w:r>
        <w:rPr>
          <w:u w:color="000000"/>
        </w:rPr>
        <w:t xml:space="preserve">DM1, DSA, Gluten friendly. </w:t>
      </w:r>
      <w:r>
        <w:rPr>
          <w:b/>
          <w:bCs/>
          <w:u w:color="000000"/>
        </w:rPr>
        <w:t>Tre sfide che, oggi, possono essere vinte</w:t>
      </w:r>
      <w:r>
        <w:rPr>
          <w:u w:color="000000"/>
        </w:rPr>
        <w:t xml:space="preserve"> sia in Italia che all’estero grazie alla professionalità di chi ha scelto di misurarvisi da anni e per primo nel nostro Paese.</w:t>
      </w:r>
    </w:p>
    <w:p w14:paraId="71DCB894" w14:textId="77777777" w:rsidR="008C7A33" w:rsidRDefault="008C7A33">
      <w:pPr>
        <w:jc w:val="both"/>
      </w:pPr>
    </w:p>
    <w:p w14:paraId="3BA1F45C" w14:textId="77777777" w:rsidR="008C7A33" w:rsidRDefault="008C7A33">
      <w:pPr>
        <w:jc w:val="both"/>
        <w:rPr>
          <w:rFonts w:ascii="Lato" w:eastAsia="Lato" w:hAnsi="Lato" w:cs="Lato"/>
          <w:sz w:val="22"/>
          <w:szCs w:val="22"/>
          <w:shd w:val="clear" w:color="auto" w:fill="FFFFFF"/>
        </w:rPr>
      </w:pPr>
    </w:p>
    <w:p w14:paraId="03919489" w14:textId="77777777" w:rsidR="00012FC2" w:rsidRPr="00136E9C" w:rsidRDefault="00012FC2" w:rsidP="00012F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36E9C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136E9C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8" w:history="1">
        <w:r w:rsidRPr="00136E9C">
          <w:rPr>
            <w:rStyle w:val="Collegamentoipertestuale"/>
            <w:rFonts w:ascii="Lato" w:hAnsi="Lato" w:cs="Verdana"/>
            <w:sz w:val="22"/>
            <w:szCs w:val="22"/>
            <w14:textOutline w14:w="0" w14:cap="rnd" w14:cmpd="sng" w14:algn="ctr">
              <w14:noFill/>
              <w14:prstDash w14:val="solid"/>
              <w14:bevel/>
            </w14:textOutline>
          </w:rPr>
          <w:t>trinityviaggistudio.it</w:t>
        </w:r>
      </w:hyperlink>
    </w:p>
    <w:p w14:paraId="02FC0F6F" w14:textId="77777777" w:rsidR="00012FC2" w:rsidRPr="00136E9C" w:rsidRDefault="00012FC2" w:rsidP="00012FC2">
      <w:pPr>
        <w:pStyle w:val="Didefault"/>
        <w:spacing w:before="0" w:line="240" w:lineRule="auto"/>
        <w:jc w:val="both"/>
        <w:rPr>
          <w:rFonts w:ascii="Lato" w:hAnsi="Lato"/>
          <w:b/>
          <w:bCs/>
          <w:color w:val="000000" w:themeColor="text1"/>
          <w:sz w:val="22"/>
          <w:szCs w:val="22"/>
        </w:rPr>
      </w:pPr>
    </w:p>
    <w:p w14:paraId="1AE8C9A0" w14:textId="77777777" w:rsidR="00012FC2" w:rsidRPr="00136E9C" w:rsidRDefault="00012FC2" w:rsidP="00012FC2">
      <w:pPr>
        <w:pStyle w:val="Didefault"/>
        <w:spacing w:before="0" w:line="240" w:lineRule="auto"/>
        <w:jc w:val="both"/>
        <w:rPr>
          <w:rFonts w:ascii="Lato" w:eastAsia="Helvetica Neue" w:hAnsi="Lato" w:cs="Helvetica Neue"/>
          <w:color w:val="C00000"/>
          <w:sz w:val="22"/>
          <w:szCs w:val="22"/>
        </w:rPr>
      </w:pPr>
      <w:r w:rsidRPr="00136E9C">
        <w:rPr>
          <w:rFonts w:ascii="Lato" w:hAnsi="Lato"/>
          <w:b/>
          <w:bCs/>
          <w:color w:val="C00000"/>
          <w:sz w:val="22"/>
          <w:szCs w:val="22"/>
        </w:rPr>
        <w:t xml:space="preserve">Trinity </w:t>
      </w:r>
      <w:proofErr w:type="gramStart"/>
      <w:r w:rsidRPr="00136E9C">
        <w:rPr>
          <w:rFonts w:ascii="Lato" w:hAnsi="Lato"/>
          <w:b/>
          <w:bCs/>
          <w:color w:val="C00000"/>
          <w:sz w:val="22"/>
          <w:szCs w:val="22"/>
        </w:rPr>
        <w:t>ViaggiStudio</w:t>
      </w:r>
      <w:proofErr w:type="gramEnd"/>
      <w:r w:rsidRPr="00136E9C">
        <w:rPr>
          <w:rFonts w:ascii="Lato" w:eastAsia="Helvetica Neue" w:hAnsi="Lato" w:cs="Helvetica Neue"/>
          <w:color w:val="C00000"/>
          <w:sz w:val="22"/>
          <w:szCs w:val="22"/>
        </w:rPr>
        <w:t xml:space="preserve"> </w:t>
      </w:r>
      <w:r w:rsidRPr="00136E9C">
        <w:rPr>
          <w:rFonts w:ascii="Lato" w:hAnsi="Lato"/>
          <w:color w:val="000000" w:themeColor="text1"/>
          <w:sz w:val="22"/>
          <w:szCs w:val="22"/>
        </w:rPr>
        <w:t>è un tour operator, con sede a Milano, Roma e rappresentanza nel Regno Unito e USA, specializzato nel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organizzazione di viaggi e soggiorni studio volti all’approfondimento della conoscenza delle lingue straniere.</w:t>
      </w:r>
    </w:p>
    <w:p w14:paraId="6F8BD0B9" w14:textId="77777777" w:rsidR="00012FC2" w:rsidRPr="00136E9C" w:rsidRDefault="00012FC2" w:rsidP="00012FC2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136E9C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136E9C">
        <w:rPr>
          <w:rFonts w:ascii="Lato" w:hAnsi="Lato"/>
          <w:color w:val="000000" w:themeColor="text1"/>
          <w:sz w:val="22"/>
          <w:szCs w:val="22"/>
        </w:rPr>
        <w:t xml:space="preserve"> opera in oltre 13 Paesi nel mondo e in Italia, organizzando soggiorni studio suddivisi per differenti fasce di età (a partire da 7 anni).</w:t>
      </w:r>
    </w:p>
    <w:p w14:paraId="61D332A1" w14:textId="77777777" w:rsidR="00012FC2" w:rsidRPr="00136E9C" w:rsidRDefault="00012FC2" w:rsidP="00012FC2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>Le proposte di viaggio si rivolgono a studenti, adulti e professionisti</w:t>
      </w:r>
      <w:r w:rsidRPr="00136E9C">
        <w:rPr>
          <w:rFonts w:ascii="Lato" w:hAnsi="Lato"/>
          <w:b/>
          <w:bCs/>
          <w:color w:val="000000" w:themeColor="text1"/>
          <w:sz w:val="22"/>
          <w:szCs w:val="22"/>
        </w:rPr>
        <w:t xml:space="preserve"> </w:t>
      </w:r>
      <w:r w:rsidRPr="00136E9C">
        <w:rPr>
          <w:rFonts w:ascii="Lato" w:hAnsi="Lato"/>
          <w:color w:val="000000" w:themeColor="text1"/>
          <w:sz w:val="22"/>
          <w:szCs w:val="22"/>
        </w:rPr>
        <w:t xml:space="preserve">interessati a partecipare a corsi di lingua </w:t>
      </w:r>
      <w:proofErr w:type="spellStart"/>
      <w:r w:rsidRPr="00136E9C">
        <w:rPr>
          <w:rFonts w:ascii="Lato" w:hAnsi="Lato"/>
          <w:color w:val="000000" w:themeColor="text1"/>
          <w:sz w:val="22"/>
          <w:szCs w:val="22"/>
        </w:rPr>
        <w:t>all</w:t>
      </w:r>
      <w:proofErr w:type="spellEnd"/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 xml:space="preserve">estero, work </w:t>
      </w:r>
      <w:proofErr w:type="spellStart"/>
      <w:r w:rsidRPr="00136E9C">
        <w:rPr>
          <w:rFonts w:ascii="Lato" w:hAnsi="Lato"/>
          <w:color w:val="000000" w:themeColor="text1"/>
          <w:sz w:val="22"/>
          <w:szCs w:val="22"/>
        </w:rPr>
        <w:t>experience</w:t>
      </w:r>
      <w:proofErr w:type="spellEnd"/>
      <w:r w:rsidRPr="00136E9C">
        <w:rPr>
          <w:rFonts w:ascii="Lato" w:hAnsi="Lato"/>
          <w:color w:val="000000" w:themeColor="text1"/>
          <w:sz w:val="22"/>
          <w:szCs w:val="22"/>
        </w:rPr>
        <w:t xml:space="preserve"> e viaggi studio di gruppo o individuali.</w:t>
      </w:r>
    </w:p>
    <w:p w14:paraId="7E4A3A34" w14:textId="77777777" w:rsidR="00012FC2" w:rsidRPr="00136E9C" w:rsidRDefault="00012FC2" w:rsidP="00012FC2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136E9C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136E9C">
        <w:rPr>
          <w:rFonts w:ascii="Lato" w:hAnsi="Lato"/>
          <w:color w:val="000000" w:themeColor="text1"/>
          <w:sz w:val="22"/>
          <w:szCs w:val="22"/>
        </w:rPr>
        <w:t xml:space="preserve"> sostiene C.L.ASS (Cultural Language Association), associazione senza scopo di lucro, che si occupa della formazione degli insegnanti con corsi inerenti la sperimentazione didattica e le metodologie riguardanti 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 xml:space="preserve">apprendimento delle L2 (seconda lingua) e delle L3 (terza lingua). Tali corsi sono riconosciuti dal Ministero </w:t>
      </w:r>
      <w:proofErr w:type="spellStart"/>
      <w:r w:rsidRPr="00136E9C">
        <w:rPr>
          <w:rFonts w:ascii="Lato" w:hAnsi="Lato"/>
          <w:color w:val="000000" w:themeColor="text1"/>
          <w:sz w:val="22"/>
          <w:szCs w:val="22"/>
        </w:rPr>
        <w:t>dell</w:t>
      </w:r>
      <w:proofErr w:type="spellEnd"/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Istruzione e consentono 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ottenimento dei crediti formativi.</w:t>
      </w:r>
    </w:p>
    <w:p w14:paraId="00A7D66E" w14:textId="77777777" w:rsidR="00012FC2" w:rsidRPr="00136E9C" w:rsidRDefault="00012FC2" w:rsidP="00012F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1EAD2E7" w14:textId="72AD75EA" w:rsidR="008C7A33" w:rsidRDefault="008C7A33" w:rsidP="00012FC2">
      <w:pPr>
        <w:jc w:val="both"/>
      </w:pPr>
    </w:p>
    <w:sectPr w:rsidR="008C7A33">
      <w:headerReference w:type="default" r:id="rId9"/>
      <w:footerReference w:type="default" r:id="rId10"/>
      <w:pgSz w:w="11900" w:h="16840"/>
      <w:pgMar w:top="983" w:right="1134" w:bottom="2606" w:left="1134" w:header="271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FD1B" w14:textId="77777777" w:rsidR="006F5B93" w:rsidRDefault="006F5B93">
      <w:r>
        <w:separator/>
      </w:r>
    </w:p>
  </w:endnote>
  <w:endnote w:type="continuationSeparator" w:id="0">
    <w:p w14:paraId="721113C2" w14:textId="77777777" w:rsidR="006F5B93" w:rsidRDefault="006F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7555" w14:textId="77777777" w:rsidR="008C7A33" w:rsidRDefault="008C7A3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030D0" w14:textId="77777777" w:rsidR="006F5B93" w:rsidRDefault="006F5B93">
      <w:r>
        <w:separator/>
      </w:r>
    </w:p>
  </w:footnote>
  <w:footnote w:type="continuationSeparator" w:id="0">
    <w:p w14:paraId="177945D4" w14:textId="77777777" w:rsidR="006F5B93" w:rsidRDefault="006F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569F" w14:textId="77777777" w:rsidR="008C7A33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C10CC95" wp14:editId="7B8527A6">
          <wp:simplePos x="0" y="0"/>
          <wp:positionH relativeFrom="page">
            <wp:posOffset>-101599</wp:posOffset>
          </wp:positionH>
          <wp:positionV relativeFrom="page">
            <wp:posOffset>-190500</wp:posOffset>
          </wp:positionV>
          <wp:extent cx="7686675" cy="10864006"/>
          <wp:effectExtent l="0" t="0" r="0" b="0"/>
          <wp:wrapNone/>
          <wp:docPr id="1073741826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6675" cy="10864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</w:p>
  <w:p w14:paraId="697307EC" w14:textId="77777777" w:rsidR="008C7A33" w:rsidRDefault="00000000">
    <w:pPr>
      <w:pStyle w:val="Intestazione"/>
      <w:tabs>
        <w:tab w:val="clear" w:pos="9638"/>
        <w:tab w:val="left" w:pos="2560"/>
        <w:tab w:val="center" w:pos="4252"/>
        <w:tab w:val="right" w:pos="9612"/>
      </w:tabs>
      <w:jc w:val="center"/>
    </w:pPr>
    <w:r>
      <w:rPr>
        <w:noProof/>
      </w:rPr>
      <w:drawing>
        <wp:inline distT="0" distB="0" distL="0" distR="0" wp14:anchorId="3E4EFBFF" wp14:editId="772646AA">
          <wp:extent cx="3149600" cy="907745"/>
          <wp:effectExtent l="0" t="0" r="0" b="0"/>
          <wp:docPr id="1073741825" name="officeArt object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Carattere, Elementi grafici, testo, graficaDescrizione generata automaticamente" descr="Immagine che contiene Carattere, Elementi grafici, testo, graficaDescrizione generata automaticament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49600" cy="9077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6E"/>
    <w:multiLevelType w:val="hybridMultilevel"/>
    <w:tmpl w:val="33BE77BE"/>
    <w:numStyleLink w:val="Stileimportato1"/>
  </w:abstractNum>
  <w:abstractNum w:abstractNumId="1" w15:restartNumberingAfterBreak="0">
    <w:nsid w:val="769B5946"/>
    <w:multiLevelType w:val="hybridMultilevel"/>
    <w:tmpl w:val="33BE77BE"/>
    <w:styleLink w:val="Stileimportato1"/>
    <w:lvl w:ilvl="0" w:tplc="44560C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6881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E4E6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E42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F2A63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FEA8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CF1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5EE6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18199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69496002">
    <w:abstractNumId w:val="1"/>
  </w:num>
  <w:num w:numId="2" w16cid:durableId="159616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A33"/>
    <w:rsid w:val="00002622"/>
    <w:rsid w:val="00012FC2"/>
    <w:rsid w:val="0005150F"/>
    <w:rsid w:val="000A6EB2"/>
    <w:rsid w:val="00290256"/>
    <w:rsid w:val="006A3F56"/>
    <w:rsid w:val="006F5B93"/>
    <w:rsid w:val="008C7A33"/>
    <w:rsid w:val="00A514D2"/>
    <w:rsid w:val="00D5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2B51"/>
  <w15:docId w15:val="{9FCB0CF5-9F6B-FF40-BC45-BE35E2D8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ind w:left="720"/>
    </w:pPr>
    <w:rPr>
      <w:rFonts w:ascii="Verdana" w:hAnsi="Verdana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Lato" w:eastAsia="Lato" w:hAnsi="Lato" w:cs="Lato"/>
      <w:outline w:val="0"/>
      <w:color w:val="0563C1"/>
      <w:sz w:val="22"/>
      <w:szCs w:val="22"/>
      <w:u w:val="single" w:color="0563C1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rsid w:val="00012FC2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nityviaggistud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C0508-B821-4C31-9E94-69FAF482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Raldiri</dc:creator>
  <cp:lastModifiedBy>veronica cristina cappennani</cp:lastModifiedBy>
  <cp:revision>2</cp:revision>
  <dcterms:created xsi:type="dcterms:W3CDTF">2024-06-04T08:04:00Z</dcterms:created>
  <dcterms:modified xsi:type="dcterms:W3CDTF">2024-06-04T08:04:00Z</dcterms:modified>
</cp:coreProperties>
</file>